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68EF5" w14:textId="61682FA1" w:rsidR="006B61D2" w:rsidRDefault="006B61D2" w:rsidP="006B61D2">
      <w:pPr>
        <w:jc w:val="both"/>
      </w:pPr>
      <w:r>
        <w:t>RESOLUTION #202</w:t>
      </w:r>
      <w:r>
        <w:t>6</w:t>
      </w:r>
      <w:r>
        <w:t>-</w:t>
      </w:r>
      <w:r>
        <w:t>12</w:t>
      </w:r>
      <w:r>
        <w:t xml:space="preserve">: A RESOLUTION BY THE MAYOR AND CITY COUNCIL OF THE CITY OF SANDERSVILLE AUTHORIZING THE CITY </w:t>
      </w:r>
      <w:r>
        <w:t>MANAGER</w:t>
      </w:r>
      <w:r>
        <w:t xml:space="preserve"> AND FINANCE OFFICER TO OPEN A CITY OF SANDERSVILLE </w:t>
      </w:r>
      <w:r>
        <w:t>GEORGIA FUND 1</w:t>
      </w:r>
      <w:r>
        <w:t xml:space="preserve"> BANK ACCOUNT</w:t>
      </w:r>
    </w:p>
    <w:p w14:paraId="55425B3C" w14:textId="77777777" w:rsidR="006B61D2" w:rsidRDefault="006B61D2"/>
    <w:p w14:paraId="311325BD" w14:textId="77777777" w:rsidR="006B61D2" w:rsidRPr="006B61D2" w:rsidRDefault="006B61D2" w:rsidP="006B61D2">
      <w:pPr>
        <w:pStyle w:val="BodyText"/>
        <w:spacing w:before="179" w:line="345" w:lineRule="auto"/>
        <w:ind w:left="90" w:right="364" w:firstLine="361"/>
        <w:jc w:val="both"/>
        <w:rPr>
          <w:sz w:val="24"/>
          <w:szCs w:val="24"/>
        </w:rPr>
      </w:pPr>
      <w:r w:rsidRPr="006B61D2">
        <w:rPr>
          <w:b/>
          <w:sz w:val="24"/>
          <w:szCs w:val="24"/>
        </w:rPr>
        <w:t>WHEREAS</w:t>
      </w:r>
      <w:r w:rsidRPr="006B61D2">
        <w:rPr>
          <w:sz w:val="24"/>
          <w:szCs w:val="24"/>
        </w:rPr>
        <w:t xml:space="preserve">, O.C.G.A. </w:t>
      </w:r>
      <w:r w:rsidRPr="006B61D2">
        <w:rPr>
          <w:rFonts w:ascii="Colonna MT" w:hAnsi="Colonna MT"/>
          <w:sz w:val="24"/>
          <w:szCs w:val="24"/>
        </w:rPr>
        <w:t xml:space="preserve">§ </w:t>
      </w:r>
      <w:r w:rsidRPr="006B61D2">
        <w:rPr>
          <w:sz w:val="24"/>
          <w:szCs w:val="24"/>
        </w:rPr>
        <w:t xml:space="preserve">36-83-1 to </w:t>
      </w:r>
      <w:r w:rsidRPr="006B61D2">
        <w:rPr>
          <w:rFonts w:ascii="Colonna MT" w:hAnsi="Colonna MT"/>
          <w:sz w:val="24"/>
          <w:szCs w:val="24"/>
        </w:rPr>
        <w:t xml:space="preserve">§ </w:t>
      </w:r>
      <w:r w:rsidRPr="006B61D2">
        <w:rPr>
          <w:sz w:val="24"/>
          <w:szCs w:val="24"/>
        </w:rPr>
        <w:t>36-83-8 authorizes Georgia local governments and other authorized entities to invest funds through the local government investment pool; and,</w:t>
      </w:r>
    </w:p>
    <w:p w14:paraId="469BA13F" w14:textId="77777777" w:rsidR="006B61D2" w:rsidRPr="006B61D2" w:rsidRDefault="006B61D2" w:rsidP="006B61D2">
      <w:pPr>
        <w:pStyle w:val="BodyText"/>
        <w:spacing w:before="123" w:line="360" w:lineRule="auto"/>
        <w:ind w:right="352" w:firstLine="451"/>
        <w:jc w:val="both"/>
        <w:rPr>
          <w:sz w:val="24"/>
          <w:szCs w:val="24"/>
        </w:rPr>
      </w:pPr>
      <w:r w:rsidRPr="006B61D2">
        <w:rPr>
          <w:b/>
          <w:sz w:val="24"/>
          <w:szCs w:val="24"/>
        </w:rPr>
        <w:t>WHEREAS</w:t>
      </w:r>
      <w:r w:rsidRPr="006B61D2">
        <w:rPr>
          <w:sz w:val="24"/>
          <w:szCs w:val="24"/>
        </w:rPr>
        <w:t>, all state departments, boards, bureaus, and agencies (“state entities”) and local governments may make deposits and maintain accounts in the LGIP as Participants, subject to approval by the State Depository Board as required in O.C.G.A. § 36-83-2(b)(4); and,</w:t>
      </w:r>
    </w:p>
    <w:p w14:paraId="5B85C2B4" w14:textId="5C56E289" w:rsidR="006B61D2" w:rsidRPr="006B61D2" w:rsidRDefault="006B61D2" w:rsidP="006B61D2">
      <w:pPr>
        <w:pStyle w:val="BodyText"/>
        <w:tabs>
          <w:tab w:val="left" w:pos="10533"/>
        </w:tabs>
        <w:spacing w:before="60" w:line="360" w:lineRule="auto"/>
        <w:ind w:right="358" w:firstLine="451"/>
        <w:rPr>
          <w:sz w:val="24"/>
          <w:szCs w:val="24"/>
        </w:rPr>
      </w:pPr>
      <w:r w:rsidRPr="006B61D2">
        <w:rPr>
          <w:b/>
          <w:sz w:val="24"/>
          <w:szCs w:val="24"/>
        </w:rPr>
        <w:t>WHEREAS</w:t>
      </w:r>
      <w:r w:rsidRPr="006B61D2">
        <w:rPr>
          <w:sz w:val="24"/>
          <w:szCs w:val="24"/>
        </w:rPr>
        <w:t xml:space="preserve">, </w:t>
      </w:r>
      <w:r>
        <w:rPr>
          <w:sz w:val="24"/>
          <w:szCs w:val="24"/>
        </w:rPr>
        <w:t xml:space="preserve">from time to time it may be advantageous to the City of Sandersville to deposit funds available for the investment in Georgia Fund 1 (hereinafter referred to as the local government investment pool) as it may deem appropriate; and, </w:t>
      </w:r>
    </w:p>
    <w:p w14:paraId="358B64E8" w14:textId="77777777" w:rsidR="006B61D2" w:rsidRPr="006B61D2" w:rsidRDefault="006B61D2" w:rsidP="006B61D2">
      <w:pPr>
        <w:pStyle w:val="BodyText"/>
        <w:spacing w:before="99" w:line="357" w:lineRule="auto"/>
        <w:ind w:left="90" w:right="354" w:firstLine="361"/>
        <w:jc w:val="both"/>
        <w:rPr>
          <w:sz w:val="24"/>
          <w:szCs w:val="24"/>
        </w:rPr>
      </w:pPr>
      <w:r w:rsidRPr="006B61D2">
        <w:rPr>
          <w:b/>
          <w:sz w:val="24"/>
          <w:szCs w:val="24"/>
        </w:rPr>
        <w:t>WHEREAS</w:t>
      </w:r>
      <w:r w:rsidRPr="006B61D2">
        <w:rPr>
          <w:sz w:val="24"/>
          <w:szCs w:val="24"/>
        </w:rPr>
        <w:t xml:space="preserve">, to provide for the safety of such funds deposited in the local government investment pool, investments are restricted to those enumerated by O.C.G.A. </w:t>
      </w:r>
      <w:r w:rsidRPr="006B61D2">
        <w:rPr>
          <w:rFonts w:ascii="Colonna MT" w:hAnsi="Colonna MT"/>
          <w:sz w:val="24"/>
          <w:szCs w:val="24"/>
        </w:rPr>
        <w:t>§</w:t>
      </w:r>
      <w:r w:rsidRPr="006B61D2">
        <w:rPr>
          <w:sz w:val="24"/>
          <w:szCs w:val="24"/>
        </w:rPr>
        <w:t>36-83-4. Pursuant to the investment policies established by the State Depository Board, the State Treasurer shall invest moneys in the local government investment pool considering first the probable safety of capital and then the probable income to be derived; and,</w:t>
      </w:r>
    </w:p>
    <w:p w14:paraId="3FAAF93D" w14:textId="77777777" w:rsidR="006B61D2" w:rsidRPr="006B61D2" w:rsidRDefault="006B61D2" w:rsidP="006B61D2">
      <w:pPr>
        <w:pStyle w:val="BodyText"/>
        <w:spacing w:before="111" w:line="360" w:lineRule="auto"/>
        <w:ind w:right="363" w:firstLine="451"/>
        <w:jc w:val="both"/>
        <w:rPr>
          <w:sz w:val="24"/>
          <w:szCs w:val="24"/>
        </w:rPr>
      </w:pPr>
      <w:r w:rsidRPr="006B61D2">
        <w:rPr>
          <w:b/>
          <w:sz w:val="24"/>
          <w:szCs w:val="24"/>
        </w:rPr>
        <w:t>WHEREAS</w:t>
      </w:r>
      <w:r w:rsidRPr="006B61D2">
        <w:rPr>
          <w:sz w:val="24"/>
          <w:szCs w:val="24"/>
        </w:rPr>
        <w:t>, such deposits must first be duly</w:t>
      </w:r>
      <w:r w:rsidRPr="006B61D2">
        <w:rPr>
          <w:spacing w:val="-2"/>
          <w:sz w:val="24"/>
          <w:szCs w:val="24"/>
        </w:rPr>
        <w:t xml:space="preserve"> </w:t>
      </w:r>
      <w:r w:rsidRPr="006B61D2">
        <w:rPr>
          <w:sz w:val="24"/>
          <w:szCs w:val="24"/>
        </w:rPr>
        <w:t>authorized by the governing authority</w:t>
      </w:r>
      <w:r w:rsidRPr="006B61D2">
        <w:rPr>
          <w:spacing w:val="-1"/>
          <w:sz w:val="24"/>
          <w:szCs w:val="24"/>
        </w:rPr>
        <w:t xml:space="preserve"> </w:t>
      </w:r>
      <w:r w:rsidRPr="006B61D2">
        <w:rPr>
          <w:sz w:val="24"/>
          <w:szCs w:val="24"/>
        </w:rPr>
        <w:t>of the local government or authorized entity</w:t>
      </w:r>
      <w:r w:rsidRPr="006B61D2">
        <w:rPr>
          <w:spacing w:val="-2"/>
          <w:sz w:val="24"/>
          <w:szCs w:val="24"/>
        </w:rPr>
        <w:t xml:space="preserve"> </w:t>
      </w:r>
      <w:r w:rsidRPr="006B61D2">
        <w:rPr>
          <w:sz w:val="24"/>
          <w:szCs w:val="24"/>
        </w:rPr>
        <w:t>and a certified copy of the resolution authorizing such investment filed with the State Treasurer; and</w:t>
      </w:r>
    </w:p>
    <w:p w14:paraId="1D2874A6" w14:textId="77777777" w:rsidR="006B61D2" w:rsidRPr="006B61D2" w:rsidRDefault="006B61D2" w:rsidP="006B61D2">
      <w:pPr>
        <w:pStyle w:val="BodyText"/>
        <w:spacing w:before="99" w:line="360" w:lineRule="auto"/>
        <w:ind w:right="362" w:firstLine="451"/>
        <w:jc w:val="both"/>
        <w:rPr>
          <w:sz w:val="24"/>
          <w:szCs w:val="24"/>
        </w:rPr>
      </w:pPr>
      <w:r w:rsidRPr="006B61D2">
        <w:rPr>
          <w:b/>
          <w:sz w:val="24"/>
          <w:szCs w:val="24"/>
        </w:rPr>
        <w:t>WHEREAS</w:t>
      </w:r>
      <w:r w:rsidRPr="006B61D2">
        <w:rPr>
          <w:sz w:val="24"/>
          <w:szCs w:val="24"/>
        </w:rPr>
        <w:t>, such resolution must name the official(s) authorized to make deposits or withdrawals of funds in the local government investment pool; and,</w:t>
      </w:r>
    </w:p>
    <w:p w14:paraId="340FD5D4" w14:textId="77777777" w:rsidR="006B61D2" w:rsidRPr="006B61D2" w:rsidRDefault="006B61D2" w:rsidP="006B61D2">
      <w:pPr>
        <w:pStyle w:val="BodyText"/>
        <w:spacing w:before="105" w:line="345" w:lineRule="auto"/>
        <w:ind w:right="355" w:firstLine="451"/>
        <w:jc w:val="both"/>
        <w:rPr>
          <w:sz w:val="24"/>
          <w:szCs w:val="24"/>
        </w:rPr>
      </w:pPr>
      <w:r w:rsidRPr="006B61D2">
        <w:rPr>
          <w:b/>
          <w:sz w:val="24"/>
          <w:szCs w:val="24"/>
        </w:rPr>
        <w:t>WHEREAS</w:t>
      </w:r>
      <w:r w:rsidRPr="006B61D2">
        <w:rPr>
          <w:sz w:val="24"/>
          <w:szCs w:val="24"/>
        </w:rPr>
        <w:t>,</w:t>
      </w:r>
      <w:r w:rsidRPr="006B61D2">
        <w:rPr>
          <w:spacing w:val="-13"/>
          <w:sz w:val="24"/>
          <w:szCs w:val="24"/>
        </w:rPr>
        <w:t xml:space="preserve"> </w:t>
      </w:r>
      <w:r w:rsidRPr="006B61D2">
        <w:rPr>
          <w:sz w:val="24"/>
          <w:szCs w:val="24"/>
        </w:rPr>
        <w:t>O.C.G.A.</w:t>
      </w:r>
      <w:r w:rsidRPr="006B61D2">
        <w:rPr>
          <w:spacing w:val="-12"/>
          <w:sz w:val="24"/>
          <w:szCs w:val="24"/>
        </w:rPr>
        <w:t xml:space="preserve"> </w:t>
      </w:r>
      <w:r w:rsidRPr="006B61D2">
        <w:rPr>
          <w:rFonts w:ascii="Colonna MT" w:hAnsi="Colonna MT"/>
          <w:sz w:val="24"/>
          <w:szCs w:val="24"/>
        </w:rPr>
        <w:t>§</w:t>
      </w:r>
      <w:r w:rsidRPr="006B61D2">
        <w:rPr>
          <w:sz w:val="24"/>
          <w:szCs w:val="24"/>
        </w:rPr>
        <w:t>36-83-8</w:t>
      </w:r>
      <w:r w:rsidRPr="006B61D2">
        <w:rPr>
          <w:spacing w:val="-12"/>
          <w:sz w:val="24"/>
          <w:szCs w:val="24"/>
        </w:rPr>
        <w:t xml:space="preserve"> </w:t>
      </w:r>
      <w:r w:rsidRPr="006B61D2">
        <w:rPr>
          <w:sz w:val="24"/>
          <w:szCs w:val="24"/>
        </w:rPr>
        <w:t>requires</w:t>
      </w:r>
      <w:r w:rsidRPr="006B61D2">
        <w:rPr>
          <w:spacing w:val="-13"/>
          <w:sz w:val="24"/>
          <w:szCs w:val="24"/>
        </w:rPr>
        <w:t xml:space="preserve"> </w:t>
      </w:r>
      <w:r w:rsidRPr="006B61D2">
        <w:rPr>
          <w:sz w:val="24"/>
          <w:szCs w:val="24"/>
        </w:rPr>
        <w:t>a</w:t>
      </w:r>
      <w:r w:rsidRPr="006B61D2">
        <w:rPr>
          <w:spacing w:val="-10"/>
          <w:sz w:val="24"/>
          <w:szCs w:val="24"/>
        </w:rPr>
        <w:t xml:space="preserve"> </w:t>
      </w:r>
      <w:r w:rsidRPr="006B61D2">
        <w:rPr>
          <w:sz w:val="24"/>
          <w:szCs w:val="24"/>
        </w:rPr>
        <w:t>statement</w:t>
      </w:r>
      <w:r w:rsidRPr="006B61D2">
        <w:rPr>
          <w:spacing w:val="-13"/>
          <w:sz w:val="24"/>
          <w:szCs w:val="24"/>
        </w:rPr>
        <w:t xml:space="preserve"> </w:t>
      </w:r>
      <w:r w:rsidRPr="006B61D2">
        <w:rPr>
          <w:sz w:val="24"/>
          <w:szCs w:val="24"/>
        </w:rPr>
        <w:t>of</w:t>
      </w:r>
      <w:r w:rsidRPr="006B61D2">
        <w:rPr>
          <w:spacing w:val="-12"/>
          <w:sz w:val="24"/>
          <w:szCs w:val="24"/>
        </w:rPr>
        <w:t xml:space="preserve"> </w:t>
      </w:r>
      <w:r w:rsidRPr="006B61D2">
        <w:rPr>
          <w:sz w:val="24"/>
          <w:szCs w:val="24"/>
        </w:rPr>
        <w:t>the</w:t>
      </w:r>
      <w:r w:rsidRPr="006B61D2">
        <w:rPr>
          <w:spacing w:val="-8"/>
          <w:sz w:val="24"/>
          <w:szCs w:val="24"/>
        </w:rPr>
        <w:t xml:space="preserve"> </w:t>
      </w:r>
      <w:r w:rsidRPr="006B61D2">
        <w:rPr>
          <w:sz w:val="24"/>
          <w:szCs w:val="24"/>
        </w:rPr>
        <w:t>approximate</w:t>
      </w:r>
      <w:r w:rsidRPr="006B61D2">
        <w:rPr>
          <w:spacing w:val="-12"/>
          <w:sz w:val="24"/>
          <w:szCs w:val="24"/>
        </w:rPr>
        <w:t xml:space="preserve"> </w:t>
      </w:r>
      <w:r w:rsidRPr="006B61D2">
        <w:rPr>
          <w:sz w:val="24"/>
          <w:szCs w:val="24"/>
        </w:rPr>
        <w:t>cash</w:t>
      </w:r>
      <w:r w:rsidRPr="006B61D2">
        <w:rPr>
          <w:spacing w:val="-11"/>
          <w:sz w:val="24"/>
          <w:szCs w:val="24"/>
        </w:rPr>
        <w:t xml:space="preserve"> </w:t>
      </w:r>
      <w:r w:rsidRPr="006B61D2">
        <w:rPr>
          <w:sz w:val="24"/>
          <w:szCs w:val="24"/>
        </w:rPr>
        <w:t>flow</w:t>
      </w:r>
      <w:r w:rsidRPr="006B61D2">
        <w:rPr>
          <w:spacing w:val="-13"/>
          <w:sz w:val="24"/>
          <w:szCs w:val="24"/>
        </w:rPr>
        <w:t xml:space="preserve"> </w:t>
      </w:r>
      <w:r w:rsidRPr="006B61D2">
        <w:rPr>
          <w:sz w:val="24"/>
          <w:szCs w:val="24"/>
        </w:rPr>
        <w:t>requirements</w:t>
      </w:r>
      <w:r w:rsidRPr="006B61D2">
        <w:rPr>
          <w:spacing w:val="-12"/>
          <w:sz w:val="24"/>
          <w:szCs w:val="24"/>
        </w:rPr>
        <w:t xml:space="preserve"> </w:t>
      </w:r>
      <w:r w:rsidRPr="006B61D2">
        <w:rPr>
          <w:sz w:val="24"/>
          <w:szCs w:val="24"/>
        </w:rPr>
        <w:t>of</w:t>
      </w:r>
      <w:r w:rsidRPr="006B61D2">
        <w:rPr>
          <w:spacing w:val="-13"/>
          <w:sz w:val="24"/>
          <w:szCs w:val="24"/>
        </w:rPr>
        <w:t xml:space="preserve"> </w:t>
      </w:r>
      <w:r w:rsidRPr="006B61D2">
        <w:rPr>
          <w:sz w:val="24"/>
          <w:szCs w:val="24"/>
        </w:rPr>
        <w:t>the</w:t>
      </w:r>
      <w:r w:rsidRPr="006B61D2">
        <w:rPr>
          <w:spacing w:val="-6"/>
          <w:sz w:val="24"/>
          <w:szCs w:val="24"/>
        </w:rPr>
        <w:t xml:space="preserve"> </w:t>
      </w:r>
      <w:r w:rsidRPr="006B61D2">
        <w:rPr>
          <w:sz w:val="24"/>
          <w:szCs w:val="24"/>
        </w:rPr>
        <w:t>local</w:t>
      </w:r>
      <w:r w:rsidRPr="006B61D2">
        <w:rPr>
          <w:spacing w:val="-10"/>
          <w:sz w:val="24"/>
          <w:szCs w:val="24"/>
        </w:rPr>
        <w:t xml:space="preserve"> </w:t>
      </w:r>
      <w:r w:rsidRPr="006B61D2">
        <w:rPr>
          <w:sz w:val="24"/>
          <w:szCs w:val="24"/>
        </w:rPr>
        <w:t>government</w:t>
      </w:r>
      <w:r w:rsidRPr="006B61D2">
        <w:rPr>
          <w:spacing w:val="-8"/>
          <w:sz w:val="24"/>
          <w:szCs w:val="24"/>
        </w:rPr>
        <w:t xml:space="preserve"> </w:t>
      </w:r>
      <w:r w:rsidRPr="006B61D2">
        <w:rPr>
          <w:sz w:val="24"/>
          <w:szCs w:val="24"/>
        </w:rPr>
        <w:t>or</w:t>
      </w:r>
      <w:r w:rsidRPr="006B61D2">
        <w:rPr>
          <w:spacing w:val="-9"/>
          <w:sz w:val="24"/>
          <w:szCs w:val="24"/>
        </w:rPr>
        <w:t xml:space="preserve"> </w:t>
      </w:r>
      <w:r w:rsidRPr="006B61D2">
        <w:rPr>
          <w:sz w:val="24"/>
          <w:szCs w:val="24"/>
        </w:rPr>
        <w:t>authorized entity pertaining to the investment of such funds;</w:t>
      </w:r>
    </w:p>
    <w:p w14:paraId="450640B9" w14:textId="18160354" w:rsidR="00A62A4D" w:rsidRDefault="006B61D2" w:rsidP="00A62A4D">
      <w:pPr>
        <w:pStyle w:val="BodyText"/>
        <w:tabs>
          <w:tab w:val="left" w:pos="9813"/>
        </w:tabs>
        <w:spacing w:before="195" w:line="360" w:lineRule="auto"/>
        <w:ind w:right="358" w:firstLine="449"/>
        <w:rPr>
          <w:sz w:val="24"/>
          <w:szCs w:val="24"/>
        </w:rPr>
      </w:pPr>
      <w:r w:rsidRPr="006B61D2">
        <w:rPr>
          <w:b/>
          <w:sz w:val="24"/>
          <w:szCs w:val="32"/>
        </w:rPr>
        <w:t>NOW,</w:t>
      </w:r>
      <w:r w:rsidRPr="006B61D2">
        <w:rPr>
          <w:b/>
          <w:spacing w:val="-5"/>
          <w:sz w:val="24"/>
          <w:szCs w:val="32"/>
        </w:rPr>
        <w:t xml:space="preserve"> </w:t>
      </w:r>
      <w:r w:rsidRPr="006B61D2">
        <w:rPr>
          <w:b/>
          <w:sz w:val="24"/>
          <w:szCs w:val="32"/>
        </w:rPr>
        <w:t>THEREFORE</w:t>
      </w:r>
      <w:r w:rsidRPr="006B61D2">
        <w:rPr>
          <w:b/>
          <w:spacing w:val="-4"/>
          <w:sz w:val="24"/>
          <w:szCs w:val="32"/>
        </w:rPr>
        <w:t xml:space="preserve"> </w:t>
      </w:r>
      <w:r w:rsidRPr="006B61D2">
        <w:rPr>
          <w:b/>
          <w:sz w:val="24"/>
          <w:szCs w:val="32"/>
        </w:rPr>
        <w:t>BE</w:t>
      </w:r>
      <w:r w:rsidRPr="006B61D2">
        <w:rPr>
          <w:b/>
          <w:spacing w:val="-2"/>
          <w:sz w:val="24"/>
          <w:szCs w:val="32"/>
        </w:rPr>
        <w:t xml:space="preserve"> </w:t>
      </w:r>
      <w:r w:rsidRPr="006B61D2">
        <w:rPr>
          <w:b/>
          <w:sz w:val="24"/>
          <w:szCs w:val="32"/>
        </w:rPr>
        <w:t>IT</w:t>
      </w:r>
      <w:r w:rsidRPr="006B61D2">
        <w:rPr>
          <w:b/>
          <w:spacing w:val="-3"/>
          <w:sz w:val="24"/>
          <w:szCs w:val="32"/>
        </w:rPr>
        <w:t xml:space="preserve"> </w:t>
      </w:r>
      <w:r w:rsidRPr="006B61D2">
        <w:rPr>
          <w:b/>
          <w:sz w:val="24"/>
          <w:szCs w:val="32"/>
        </w:rPr>
        <w:t>RESOLVED</w:t>
      </w:r>
      <w:r w:rsidR="00A62A4D">
        <w:rPr>
          <w:b/>
          <w:szCs w:val="32"/>
        </w:rPr>
        <w:t xml:space="preserve"> </w:t>
      </w:r>
      <w:r w:rsidR="00A62A4D" w:rsidRPr="00A62A4D">
        <w:rPr>
          <w:bCs/>
          <w:sz w:val="24"/>
          <w:szCs w:val="40"/>
        </w:rPr>
        <w:t xml:space="preserve">by the City of Sandersville that the City of Sandersville </w:t>
      </w:r>
      <w:r w:rsidR="00A62A4D" w:rsidRPr="00A62A4D">
        <w:rPr>
          <w:sz w:val="24"/>
          <w:szCs w:val="24"/>
        </w:rPr>
        <w:t>meets the criteria as defined in O.C.G.A. § 36-83-3 to participate and deposit</w:t>
      </w:r>
      <w:r w:rsidR="00A62A4D" w:rsidRPr="00A62A4D">
        <w:rPr>
          <w:spacing w:val="40"/>
          <w:sz w:val="24"/>
          <w:szCs w:val="24"/>
        </w:rPr>
        <w:t xml:space="preserve"> </w:t>
      </w:r>
      <w:r w:rsidR="00A62A4D" w:rsidRPr="00A62A4D">
        <w:rPr>
          <w:sz w:val="24"/>
          <w:szCs w:val="24"/>
        </w:rPr>
        <w:t>funds from time to time in the manner prescribed by law and in accordance with the applicable policies and procedures for the local government investment pool.</w:t>
      </w:r>
    </w:p>
    <w:p w14:paraId="5032FD9B" w14:textId="77777777" w:rsidR="00A62A4D" w:rsidRDefault="00A62A4D" w:rsidP="00A62A4D">
      <w:pPr>
        <w:ind w:firstLine="449"/>
        <w:jc w:val="both"/>
      </w:pPr>
      <w:r w:rsidRPr="00A62A4D">
        <w:rPr>
          <w:b/>
          <w:bCs/>
        </w:rPr>
        <w:lastRenderedPageBreak/>
        <w:t>BE IT FURTHER RESOLVED</w:t>
      </w:r>
      <w:r>
        <w:t xml:space="preserve"> that any Resolution or parts of a Resolution in conflict herewith are hereby rescinded, and that this Resolution shall become effective immediately upon its adoption.</w:t>
      </w:r>
    </w:p>
    <w:p w14:paraId="4F37F4FB" w14:textId="77777777" w:rsidR="00A62A4D" w:rsidRDefault="00A62A4D" w:rsidP="00A62A4D"/>
    <w:p w14:paraId="30BE1A93" w14:textId="058E3AB9" w:rsidR="00A62A4D" w:rsidRDefault="00A62A4D" w:rsidP="00A62A4D">
      <w:r>
        <w:tab/>
      </w:r>
      <w:r>
        <w:tab/>
      </w:r>
      <w:r>
        <w:tab/>
      </w:r>
      <w:r>
        <w:tab/>
      </w:r>
      <w:r>
        <w:tab/>
      </w:r>
      <w:r>
        <w:tab/>
        <w:t>Adopted this 2</w:t>
      </w:r>
      <w:r>
        <w:t>0</w:t>
      </w:r>
      <w:r w:rsidRPr="00A62A4D">
        <w:rPr>
          <w:vertAlign w:val="superscript"/>
        </w:rPr>
        <w:t>th</w:t>
      </w:r>
      <w:r>
        <w:t xml:space="preserve"> </w:t>
      </w:r>
      <w:r>
        <w:t>day of Ju</w:t>
      </w:r>
      <w:r>
        <w:t>ly</w:t>
      </w:r>
      <w:r>
        <w:t>, 202</w:t>
      </w:r>
      <w:r>
        <w:t>6</w:t>
      </w:r>
      <w:r>
        <w:t>.</w:t>
      </w:r>
    </w:p>
    <w:p w14:paraId="080E47A2" w14:textId="77777777" w:rsidR="00A62A4D" w:rsidRDefault="00A62A4D" w:rsidP="00A62A4D"/>
    <w:p w14:paraId="26DEB73E" w14:textId="77777777" w:rsidR="00A62A4D" w:rsidRDefault="00A62A4D" w:rsidP="00A62A4D">
      <w:r>
        <w:tab/>
      </w:r>
      <w:r>
        <w:tab/>
      </w:r>
      <w:r>
        <w:tab/>
      </w:r>
      <w:r>
        <w:tab/>
      </w:r>
      <w:r>
        <w:tab/>
      </w:r>
      <w:r>
        <w:tab/>
        <w:t>CITY OF SANDERSVILLE, GEORGIA</w:t>
      </w:r>
    </w:p>
    <w:p w14:paraId="49289180" w14:textId="77777777" w:rsidR="00A62A4D" w:rsidRDefault="00A62A4D" w:rsidP="00A62A4D"/>
    <w:p w14:paraId="3462BC62" w14:textId="77777777" w:rsidR="00A62A4D" w:rsidRDefault="00A62A4D" w:rsidP="00A62A4D">
      <w:r>
        <w:tab/>
      </w:r>
      <w:r>
        <w:tab/>
      </w:r>
      <w:r>
        <w:tab/>
      </w:r>
      <w:r>
        <w:tab/>
      </w:r>
      <w:r>
        <w:tab/>
      </w:r>
      <w:r>
        <w:tab/>
        <w:t>__________________________________</w:t>
      </w:r>
      <w:r>
        <w:tab/>
      </w:r>
    </w:p>
    <w:p w14:paraId="4AE1D01F" w14:textId="77777777" w:rsidR="00A62A4D" w:rsidRDefault="00A62A4D" w:rsidP="00A62A4D">
      <w:r>
        <w:tab/>
      </w:r>
      <w:r>
        <w:tab/>
      </w:r>
      <w:r>
        <w:tab/>
      </w:r>
      <w:r>
        <w:tab/>
      </w:r>
      <w:r>
        <w:tab/>
      </w:r>
      <w:r>
        <w:tab/>
        <w:t>Jimmy Andrews, Mayor</w:t>
      </w:r>
    </w:p>
    <w:p w14:paraId="53FA0AE7" w14:textId="77777777" w:rsidR="00A62A4D" w:rsidRDefault="00A62A4D" w:rsidP="00A62A4D"/>
    <w:p w14:paraId="3A81315C" w14:textId="77777777" w:rsidR="00A62A4D" w:rsidRDefault="00A62A4D" w:rsidP="00A62A4D">
      <w:r>
        <w:tab/>
      </w:r>
      <w:r>
        <w:tab/>
      </w:r>
      <w:r>
        <w:tab/>
      </w:r>
      <w:r>
        <w:tab/>
      </w:r>
      <w:r>
        <w:tab/>
      </w:r>
      <w:r>
        <w:tab/>
        <w:t>__________________________________</w:t>
      </w:r>
      <w:r>
        <w:tab/>
      </w:r>
    </w:p>
    <w:p w14:paraId="094F706A" w14:textId="1562F855" w:rsidR="00A62A4D" w:rsidRDefault="00A62A4D" w:rsidP="00A62A4D">
      <w:r>
        <w:tab/>
      </w:r>
      <w:r>
        <w:tab/>
      </w:r>
      <w:r>
        <w:tab/>
      </w:r>
      <w:r>
        <w:tab/>
      </w:r>
      <w:r>
        <w:tab/>
      </w:r>
      <w:r>
        <w:tab/>
      </w:r>
      <w:r>
        <w:t>Gloria Waller</w:t>
      </w:r>
      <w:r>
        <w:t xml:space="preserve">, City Clerk  </w:t>
      </w:r>
      <w:r>
        <w:tab/>
      </w:r>
    </w:p>
    <w:p w14:paraId="45A46E94" w14:textId="77777777" w:rsidR="00A62A4D" w:rsidRPr="00A62A4D" w:rsidRDefault="00A62A4D" w:rsidP="00A62A4D">
      <w:pPr>
        <w:pStyle w:val="BodyText"/>
        <w:tabs>
          <w:tab w:val="left" w:pos="9813"/>
        </w:tabs>
        <w:spacing w:before="195" w:line="360" w:lineRule="auto"/>
        <w:ind w:right="358" w:firstLine="449"/>
        <w:rPr>
          <w:sz w:val="24"/>
          <w:szCs w:val="24"/>
        </w:rPr>
      </w:pPr>
    </w:p>
    <w:p w14:paraId="135E5F10" w14:textId="1BEDE51B" w:rsidR="006B61D2" w:rsidRPr="006B61D2" w:rsidRDefault="006B61D2" w:rsidP="004646E4">
      <w:pPr>
        <w:tabs>
          <w:tab w:val="left" w:pos="10533"/>
        </w:tabs>
        <w:spacing w:before="123"/>
        <w:ind w:left="451"/>
      </w:pPr>
      <w:r w:rsidRPr="006B61D2">
        <w:rPr>
          <w:b/>
          <w:szCs w:val="32"/>
        </w:rPr>
        <w:t xml:space="preserve"> </w:t>
      </w:r>
    </w:p>
    <w:p w14:paraId="21BED58C" w14:textId="77777777" w:rsidR="006B61D2" w:rsidRPr="006B61D2" w:rsidRDefault="006B61D2">
      <w:pPr>
        <w:rPr>
          <w:sz w:val="32"/>
          <w:szCs w:val="32"/>
        </w:rPr>
      </w:pPr>
    </w:p>
    <w:sectPr w:rsidR="006B61D2" w:rsidRPr="006B61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lonna MT">
    <w:panose1 w:val="04020805060202030203"/>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1D2"/>
    <w:rsid w:val="004646E4"/>
    <w:rsid w:val="006B61D2"/>
    <w:rsid w:val="007F34E8"/>
    <w:rsid w:val="00A62A4D"/>
    <w:rsid w:val="00A97696"/>
    <w:rsid w:val="00E71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C3D60"/>
  <w15:chartTrackingRefBased/>
  <w15:docId w15:val="{6665BC3A-08D1-4DD5-AEB7-BAEB5829D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1D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B61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61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61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1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61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61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1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1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1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1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61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61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61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61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6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1D2"/>
    <w:rPr>
      <w:rFonts w:eastAsiaTheme="majorEastAsia" w:cstheme="majorBidi"/>
      <w:color w:val="272727" w:themeColor="text1" w:themeTint="D8"/>
    </w:rPr>
  </w:style>
  <w:style w:type="paragraph" w:styleId="Title">
    <w:name w:val="Title"/>
    <w:basedOn w:val="Normal"/>
    <w:next w:val="Normal"/>
    <w:link w:val="TitleChar"/>
    <w:uiPriority w:val="10"/>
    <w:qFormat/>
    <w:rsid w:val="006B61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1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1D2"/>
    <w:pPr>
      <w:spacing w:before="160"/>
      <w:jc w:val="center"/>
    </w:pPr>
    <w:rPr>
      <w:i/>
      <w:iCs/>
      <w:color w:val="404040" w:themeColor="text1" w:themeTint="BF"/>
    </w:rPr>
  </w:style>
  <w:style w:type="character" w:customStyle="1" w:styleId="QuoteChar">
    <w:name w:val="Quote Char"/>
    <w:basedOn w:val="DefaultParagraphFont"/>
    <w:link w:val="Quote"/>
    <w:uiPriority w:val="29"/>
    <w:rsid w:val="006B61D2"/>
    <w:rPr>
      <w:i/>
      <w:iCs/>
      <w:color w:val="404040" w:themeColor="text1" w:themeTint="BF"/>
    </w:rPr>
  </w:style>
  <w:style w:type="paragraph" w:styleId="ListParagraph">
    <w:name w:val="List Paragraph"/>
    <w:basedOn w:val="Normal"/>
    <w:uiPriority w:val="34"/>
    <w:qFormat/>
    <w:rsid w:val="006B61D2"/>
    <w:pPr>
      <w:ind w:left="720"/>
      <w:contextualSpacing/>
    </w:pPr>
  </w:style>
  <w:style w:type="character" w:styleId="IntenseEmphasis">
    <w:name w:val="Intense Emphasis"/>
    <w:basedOn w:val="DefaultParagraphFont"/>
    <w:uiPriority w:val="21"/>
    <w:qFormat/>
    <w:rsid w:val="006B61D2"/>
    <w:rPr>
      <w:i/>
      <w:iCs/>
      <w:color w:val="0F4761" w:themeColor="accent1" w:themeShade="BF"/>
    </w:rPr>
  </w:style>
  <w:style w:type="paragraph" w:styleId="IntenseQuote">
    <w:name w:val="Intense Quote"/>
    <w:basedOn w:val="Normal"/>
    <w:next w:val="Normal"/>
    <w:link w:val="IntenseQuoteChar"/>
    <w:uiPriority w:val="30"/>
    <w:qFormat/>
    <w:rsid w:val="006B61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61D2"/>
    <w:rPr>
      <w:i/>
      <w:iCs/>
      <w:color w:val="0F4761" w:themeColor="accent1" w:themeShade="BF"/>
    </w:rPr>
  </w:style>
  <w:style w:type="character" w:styleId="IntenseReference">
    <w:name w:val="Intense Reference"/>
    <w:basedOn w:val="DefaultParagraphFont"/>
    <w:uiPriority w:val="32"/>
    <w:qFormat/>
    <w:rsid w:val="006B61D2"/>
    <w:rPr>
      <w:b/>
      <w:bCs/>
      <w:smallCaps/>
      <w:color w:val="0F4761" w:themeColor="accent1" w:themeShade="BF"/>
      <w:spacing w:val="5"/>
    </w:rPr>
  </w:style>
  <w:style w:type="paragraph" w:styleId="BodyText">
    <w:name w:val="Body Text"/>
    <w:basedOn w:val="Normal"/>
    <w:link w:val="BodyTextChar"/>
    <w:uiPriority w:val="1"/>
    <w:qFormat/>
    <w:rsid w:val="006B61D2"/>
    <w:pPr>
      <w:widowControl w:val="0"/>
      <w:autoSpaceDE w:val="0"/>
      <w:autoSpaceDN w:val="0"/>
    </w:pPr>
    <w:rPr>
      <w:sz w:val="20"/>
      <w:szCs w:val="20"/>
    </w:rPr>
  </w:style>
  <w:style w:type="character" w:customStyle="1" w:styleId="BodyTextChar">
    <w:name w:val="Body Text Char"/>
    <w:basedOn w:val="DefaultParagraphFont"/>
    <w:link w:val="BodyText"/>
    <w:uiPriority w:val="1"/>
    <w:rsid w:val="006B61D2"/>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Gloria Waller</cp:lastModifiedBy>
  <cp:revision>2</cp:revision>
  <cp:lastPrinted>2026-07-14T13:53:00Z</cp:lastPrinted>
  <dcterms:created xsi:type="dcterms:W3CDTF">2026-07-14T13:54:00Z</dcterms:created>
  <dcterms:modified xsi:type="dcterms:W3CDTF">2026-07-14T13:54:00Z</dcterms:modified>
</cp:coreProperties>
</file>